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30A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4C8B727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6327300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1697239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754FE911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о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акты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</w:p>
    <w:p w14:paraId="15AD34D4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30D0620A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454DD5E0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252  </w:t>
      </w: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 06.11.2025</w:t>
      </w:r>
    </w:p>
    <w:p w14:paraId="5612CDB6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4A021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(в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силу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01.01.2026)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A6AA91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8E4C4DF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Мониторул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Офичиал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ал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 xml:space="preserve"> Р. </w:t>
      </w: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565-568 </w:t>
      </w: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ст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. 998 </w:t>
      </w:r>
      <w:proofErr w:type="spellStart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4A0213">
        <w:rPr>
          <w:rFonts w:ascii="Arial" w:eastAsia="Times New Roman" w:hAnsi="Arial" w:cs="Arial"/>
          <w:kern w:val="0"/>
          <w:lang w:eastAsia="ro-MD"/>
          <w14:ligatures w14:val="none"/>
        </w:rPr>
        <w:t> 13.11.2025</w:t>
      </w:r>
    </w:p>
    <w:p w14:paraId="5B6174B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4C7FBFB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471AA20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ст.44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548/1995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2015, № 297-300, ст.544),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ст.84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2017, № 434-439, ст.727)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63C7ACB4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7E39696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перелагает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2021/451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перелагает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ст.15,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Х и ХI)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№575/2013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680/2014, CELEX: 32021R0451,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97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2021 г.,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2022/1994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ноября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B8C8EF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2018, № 183-194, ст.907),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1337/2018,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A55AD1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гармонизации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3DF167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1.1.1.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"ст.14,"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XI"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06DA06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1.1.2.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"ст.16, ст.17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(c), ст.18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XII, XIII, XXII, XXIII, XXIV и XXV"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"ст.15, ст.16, ст.17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(c), ст.18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X, XI, XII, XIII, XXII, XXIII, XXIV и XXV".</w:t>
      </w:r>
    </w:p>
    <w:p w14:paraId="48AF931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2A9D27D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17FCBAB0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показателю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</w:p>
    <w:p w14:paraId="5592AB08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основе</w:t>
      </w:r>
      <w:proofErr w:type="spellEnd"/>
    </w:p>
    <w:p w14:paraId="76B83B7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п.69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№ 176/2025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176/2025),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ежеквартально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ежегодно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п.4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являющиеся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значимыми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направляют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48.00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включающий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48.01 и C 48.02)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4CEB4E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21.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40.00,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{r0410; c0010},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ежегодно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четвертый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п.41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FEC5E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п.6–18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176/2025.</w:t>
      </w:r>
    </w:p>
    <w:p w14:paraId="40FA18E9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59A8A1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1,5 %;</w:t>
      </w:r>
    </w:p>
    <w:p w14:paraId="24B19B2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23.2.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2%.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пп.23.1,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пп.23.1,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пп.23.2,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превысил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C9B1E5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чья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п.16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10 000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п.23.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E78EEC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F62F11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25.1.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1C7D4D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25.2.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A3D6C5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пп.25.1,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пп.25.1,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пп.25.2,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превысил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".</w:t>
      </w:r>
    </w:p>
    <w:p w14:paraId="7172017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DAF5DD1" w14:textId="77777777" w:rsidR="004A0213" w:rsidRPr="004A0213" w:rsidRDefault="004A0213" w:rsidP="004A0213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</w:t>
      </w:r>
      <w:r w:rsidRPr="004A0213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</w:p>
    <w:p w14:paraId="0BAEF345" w14:textId="77777777" w:rsidR="004A0213" w:rsidRPr="004A0213" w:rsidRDefault="004A0213" w:rsidP="004A0213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</w:p>
    <w:p w14:paraId="51B75776" w14:textId="77777777" w:rsidR="004A0213" w:rsidRPr="004A0213" w:rsidRDefault="004A0213" w:rsidP="004A0213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СОREP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</w:p>
    <w:p w14:paraId="01A328F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B66DF5F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ОТЧЕТНОСТЬ ОБ ЭФФЕКТЕ РЫЧАГА</w:t>
      </w:r>
    </w:p>
    <w:p w14:paraId="64942B5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34F4FF2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34BAB841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 ИНСТРУКЦИИ</w:t>
      </w:r>
    </w:p>
    <w:p w14:paraId="7A3B5812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1AEAF29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3582A537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Структура</w:t>
      </w:r>
      <w:proofErr w:type="spellEnd"/>
    </w:p>
    <w:p w14:paraId="7009095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содержит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"LR"):</w:t>
      </w:r>
    </w:p>
    <w:p w14:paraId="25B8510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сложности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пяти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B0A691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C 47.00: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LRCalc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96D88F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C 40.00: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(LR1):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Альтернативный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A2D4D9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C 43.00: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(LR4):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Разбивка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7077BF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C 44.00: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(LR5):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52B9D3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C 48.00: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(LR6).</w:t>
      </w:r>
    </w:p>
    <w:p w14:paraId="353AB20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подробная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аспектах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7CB893C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65C9777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692B93CF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нумерации</w:t>
      </w:r>
      <w:proofErr w:type="spellEnd"/>
    </w:p>
    <w:p w14:paraId="47D2556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ссылок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соответствовать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обозначению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параграфах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числовые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коды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широко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B2304C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обозначения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{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}.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Звездочка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сделана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97BB85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проверок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записи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ссылаются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какой-либо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{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}.</w:t>
      </w:r>
    </w:p>
    <w:p w14:paraId="5A5AA38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а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меморандум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ячеек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23FB93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1B28BDD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3.</w:t>
      </w:r>
    </w:p>
    <w:p w14:paraId="79AC7F4A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Сокращения</w:t>
      </w:r>
      <w:proofErr w:type="spellEnd"/>
    </w:p>
    <w:p w14:paraId="699C2A3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сокращения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70BCB2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202/2017;</w:t>
      </w:r>
    </w:p>
    <w:p w14:paraId="0A7D953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№ 111/2018;</w:t>
      </w:r>
    </w:p>
    <w:p w14:paraId="0ED18CF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8.3.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техниках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№ 112/2018;</w:t>
      </w:r>
    </w:p>
    <w:p w14:paraId="18188AA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8.4.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114/2018;</w:t>
      </w:r>
    </w:p>
    <w:p w14:paraId="008B529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8.5.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220/2025;</w:t>
      </w:r>
    </w:p>
    <w:p w14:paraId="7BEBB68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8.6. SFT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(Securities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Financing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Transaction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дачи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долгосрочных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маржинальных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пп.5.2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176/2025;</w:t>
      </w:r>
    </w:p>
    <w:p w14:paraId="1CC747AC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8.7. CRM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(Credit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Risk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Mitigation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112/2018;</w:t>
      </w:r>
    </w:p>
    <w:p w14:paraId="241547A9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8.8. CSD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(Central Securities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Depository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т.е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ст.2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234/2016;</w:t>
      </w:r>
    </w:p>
    <w:p w14:paraId="5F6ADE62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8.9. CPCC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Qualifying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Central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Counterparty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);</w:t>
      </w:r>
    </w:p>
    <w:p w14:paraId="21E2341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8.10. PFE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Potential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Future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Exposure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);</w:t>
      </w:r>
    </w:p>
    <w:p w14:paraId="7DF50BB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8.11. SA-CCR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стандартизованный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3CCEDED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8.12. NICA -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746DD7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4AA89B4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4.</w:t>
      </w:r>
    </w:p>
    <w:p w14:paraId="3D717AB5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Условные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обозначения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знаков</w:t>
      </w:r>
      <w:proofErr w:type="spellEnd"/>
    </w:p>
    <w:p w14:paraId="457D540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40EA94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названию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предшествует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(-),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180DCDC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9.2. {LRCalc;0310;0010}, {LRCalc;0320;0010}, {LRCalc;0330;0010}, {LRCalc;0340;0010},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обычно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крайних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7A5DCA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10DFE4E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II:</w:t>
      </w:r>
    </w:p>
    <w:p w14:paraId="00E1CCE2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ИНСТРУКЦИИ ПО ФОРМУЛЯРАМ</w:t>
      </w:r>
    </w:p>
    <w:p w14:paraId="717DA5B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C4B0604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1.</w:t>
      </w:r>
    </w:p>
    <w:p w14:paraId="6532B72B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рычага</w:t>
      </w:r>
      <w:proofErr w:type="spellEnd"/>
    </w:p>
    <w:p w14:paraId="65A9E63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основывается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ячеек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LRCalc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F237B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= {LRCalc;0310;0010}/{LRCalc;0290;0010}.</w:t>
      </w:r>
    </w:p>
    <w:p w14:paraId="044FDF2B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73121E2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02ED837E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Пороги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существенности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</w:p>
    <w:p w14:paraId="6CDA289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нагрузку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ограниченными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относительной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значимости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п.13.</w:t>
      </w:r>
    </w:p>
    <w:p w14:paraId="08538B4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=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/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4A0213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.</w:t>
      </w:r>
    </w:p>
    <w:p w14:paraId="08125D7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{LRCalc;0061;0010}+{LRCalc;0065;0010}+ {LRCalc;0071;0010}+{LRCalc;0081;001 0}+{LRCalc;0091;0010}+{LRCalc;0092;0010}+{LRCalc;0093;0010}+{LRCalc;0101;0010}+ {LRCalc;0102;0010}+{LRCalc;0103;0010}+{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LRCalc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0104;0010} +{LRCalc;0110;0010} +{LRCalc;0120;0010}+{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LRCalc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;0130;0010}+{LRCalc;0140;0010}.</w:t>
      </w:r>
    </w:p>
    <w:p w14:paraId="4399373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измерения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{LRCalc;0290;0010}.</w:t>
      </w:r>
    </w:p>
    <w:p w14:paraId="67E7F24C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16.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референтной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= {LR1; 0010;0070}.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8474C1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= {LR1;0020;0070} + {LR1;0050;0070}.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23ED93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01FB1B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18.1.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1,5%;</w:t>
      </w:r>
    </w:p>
    <w:p w14:paraId="0AF10C2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18.2.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2,0 %.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пп.18.2,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превышено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C6BEBD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справочной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миллиардов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превышен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3436F5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22,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п.25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D14684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выхода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пп.20.2,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превысили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пороговое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2F2352D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 и 19,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{LR1;0010;0010}, {LR1;0010;0020}, {LR1;0020;0010}, {LR1;0020;0020}, {LR1;0030;0070}, {LR1;0040;0070}, {LR1;0050;0010}, {LR1;0050;0020}, {LR1;0060;0010}, {LR1;0060;0020}, и {LR1;0060;0070}.</w:t>
      </w:r>
    </w:p>
    <w:p w14:paraId="30EEEC12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Ячейки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{LR1;0020;0075}, {LR1;0050;0075}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{LR1;0050;0085}.</w:t>
      </w:r>
    </w:p>
    <w:p w14:paraId="58E3378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D5C003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3.</w:t>
      </w:r>
    </w:p>
    <w:p w14:paraId="6633ECA2" w14:textId="77777777" w:rsidR="004A0213" w:rsidRPr="004A0213" w:rsidRDefault="004A0213" w:rsidP="004A021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C 47.00 –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(</w:t>
      </w:r>
      <w:proofErr w:type="spellStart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LRCalc</w:t>
      </w:r>
      <w:proofErr w:type="spellEnd"/>
      <w:r w:rsidRPr="004A021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)</w:t>
      </w:r>
    </w:p>
    <w:p w14:paraId="7109EFD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формуляре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собираются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176/2025.</w:t>
      </w:r>
    </w:p>
    <w:p w14:paraId="254422D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предоставляют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ежеквартально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календарный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FA6502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обозначением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{LRCalc;0270;0010}),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сообщаемые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например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обозначением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применялись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E01C6B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увеличивается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быть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И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наоборот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наименованием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знак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(-),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530E472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вычитается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 47.00.</w:t>
      </w:r>
    </w:p>
    <w:p w14:paraId="1FB8C95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4335"/>
        <w:gridCol w:w="2204"/>
      </w:tblGrid>
      <w:tr w:rsidR="004A0213" w:rsidRPr="004A0213" w14:paraId="429AF54C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103BD0" w14:textId="77777777" w:rsidR="004A0213" w:rsidRPr="004A0213" w:rsidRDefault="004A0213" w:rsidP="004A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7CD3590D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30C344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______________________</w:t>
            </w:r>
          </w:p>
          <w:p w14:paraId="163F02B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</w:t>
            </w:r>
          </w:p>
          <w:p w14:paraId="0A587F7A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01F200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47.00 - РАСЧЕТ ПОКАЗАТЕЛЯ ЭФФЕКТА РЫЧАГА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LRCalc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  <w:p w14:paraId="451B47B6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3266F392" w14:textId="77777777" w:rsidTr="004A0213">
        <w:trPr>
          <w:jc w:val="center"/>
        </w:trPr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C1473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5E45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4E16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LR: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дата</w:t>
            </w:r>
            <w:proofErr w:type="spellEnd"/>
          </w:p>
        </w:tc>
      </w:tr>
      <w:tr w:rsidR="004A0213" w:rsidRPr="004A0213" w14:paraId="4FB9D1FE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FD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5CD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AA638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</w:tr>
      <w:tr w:rsidR="004A0213" w:rsidRPr="004A0213" w14:paraId="3C9F4BD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9D8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0623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55F2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2794F0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CF1D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4769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AEDDA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DEE4FD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92B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3F4C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п.58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176/2025 и п.75-83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20BE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9EFE49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9BF2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7F38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6FF6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963431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118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BF317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Стадия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D8EF5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1DE376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172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C5B2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текущая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SA-CCR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NICA)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1E8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BD294A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F23E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25B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NICA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компенсируются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SA-CCR)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45336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766E4B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D52B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9EE2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SA-CCR)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100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8C5358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13BE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3538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SA-CCR)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8104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C403CB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3EB1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DAF4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SA-CCR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A61A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8C0D8D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6659E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2C9F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низкого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множителя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SA-CCR)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A7E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6BD61E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BAF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99A7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SA-CCR)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6AFA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613361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192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603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366D7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BD7909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FF15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A8B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затраты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EE8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C8FDB9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287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A341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CE87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9FA2DD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874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D46A8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7A9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A772A1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D095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B201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AB37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CB45A6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7CA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F23F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310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2FAA42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CDD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917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6168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505E3C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808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3363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2A3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051FE7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00187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873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F801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95F0C0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C351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AC56D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20 %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C60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7BB725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C65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718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50 %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5DDD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4542CD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F59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992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100 %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AE6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C868A3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A32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9014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F7A6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A47F8F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15B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FE41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F310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47AE56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6CA0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19F0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D93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7806C5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C05F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C5B4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60F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F0CEC2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A368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BA8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632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D3DFA3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BA24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D540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DB9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FD9BC6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3E1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EEF6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439C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3D2F55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D49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9D06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CC08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6674FF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A5B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FA6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59BD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EF405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742CB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475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0DDA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7A3CB2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7150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8AD3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9086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C1767A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492E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52AB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4BD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D33F07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FCDA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065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п.25-26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5E7A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914AE4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DE5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A418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01047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9729E2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DE4D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084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68ED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B7953A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9318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DE4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888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73F81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BBF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E5B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7D41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3ADD6A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7E3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DB1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15E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81ECAD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16A0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CD3A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мезонинным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F069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2CC514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8F30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001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доверительному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FA6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8296AB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6370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89F08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Внутригрупповые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CE42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3B629E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07B7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DAE3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институциональной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D25FE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23B402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1C4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7D66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9C0E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6C3C75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9F6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C46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депонированное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трехсторонних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37DF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6AE798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33C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0450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секьюритизированные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передачу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951E0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4ABCE7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9926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249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CCE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07B74D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C20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842C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Вспомогательные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депозитариев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638B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3E2B271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E2F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A5A2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Вспомогательные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уполномоченных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D57B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6C61D9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700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FD8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19.7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B632C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898B89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9C68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2FE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856D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FCF37C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EF73E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ED5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учреждений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3869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55D3F4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ACC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E0EA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непосредственно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50FD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51CD11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0C1D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9EA9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рекламные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посредническую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887C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3DFB10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8EB22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54741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6FAA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8B65DC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4D3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3DD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непосредственно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907A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24C953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7FD7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3D9B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банк-посредник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3CAE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989819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5B5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13AA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-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введенным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5FEB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07C8DE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3DE9F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51CE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-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переходным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23C3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846A31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BB5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706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введенное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определение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471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BB59E1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C9A0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CE59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переходного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19C4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496D56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DF48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BA12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276D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157952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49C9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78291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введенному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D48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31174B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1139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86FD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переходному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6DCC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D02EEC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B7A54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CD7A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B19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9FBCE9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8F310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94A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введенное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3C3D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0165E3E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244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988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переходного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45C4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F28EA9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48D9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821E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8CC7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6C1884B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D6CC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26BF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столпа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(P2G)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5285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857FD8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9344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477E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DA4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B166BC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5C0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2E22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Буфер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G-SII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BA06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6FF3A9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0DC7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6F67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Руководящие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(P2G)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AB56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134897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88A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F849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D968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D6F26B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98A1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829C1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B307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CE2BA0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CFA0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06CD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CDBA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6B65E5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799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D20A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997E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D8527C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D805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0D8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SREP (TSLRR)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82D7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3D7C4A3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355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424D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TSLRR: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5D9A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EC0BF5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8ED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01AE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Глобальное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(OLRR)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539A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46E977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7A1F9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A9E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Глобальное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(OLRR)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руководящих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(P2G)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7BD8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213ADF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4BB1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B4B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OLRR и P2G: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8C8F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DF138A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6841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68D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OLRR и P2G: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1499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241E13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6BF0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AC16A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F23E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8C2342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AA62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5A4B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 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аналогичные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переходные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ожидаемых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(ECL)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применялись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C422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E757BE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669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1343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нереализованных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прибылей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убытков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оцениваемых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CE3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7C20809F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5447"/>
        <w:gridCol w:w="788"/>
      </w:tblGrid>
      <w:tr w:rsidR="004A0213" w:rsidRPr="004A0213" w14:paraId="3E58DE4F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35D4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644D6C7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47.00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LRCalc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  <w:p w14:paraId="0945FF2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5D591A75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4EFBCC70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5554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5416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591FB9C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DEB65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6C0C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</w:tr>
      <w:tr w:rsidR="004A0213" w:rsidRPr="004A0213" w14:paraId="6EB4FF2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746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A78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Подп.24.2 и п.28-31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подп.24.2 и п.28-31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подп.60.3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посредством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удерживаются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{0190;0010}.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пособие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подп.60.1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4D43A75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E82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4D6D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П.54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56 и п.57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подп.60.3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пособие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сподп.60.1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{0040;0010}.</w:t>
            </w:r>
          </w:p>
        </w:tc>
      </w:tr>
      <w:tr w:rsidR="004A0213" w:rsidRPr="004A0213" w14:paraId="516F124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874C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4AF8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п.58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 и п.73-83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112/2018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П.58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п.73-83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п.75-83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112/2018,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нижнего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предела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20%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подп.60.3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увеличения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п.54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2311F2F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D232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9940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Подп.60.1 и п.55 и 56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пособие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подп.60.1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состоит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увеличения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подп.60.3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{0010;0010} и {0020;0010}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{0010;0010} и {0030;0010},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F8CE8A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1EC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E78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отражаться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реклассифицированная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{0010;0010}, {0020;0010} и {0030;0010},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переоцененная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{0190;0010}.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начальная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{0190;0010}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{0020;0010}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{0030;0010},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CADAD8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5F6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{0061;0010}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82A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текущая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SA-CCR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NICA]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П.32-34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п.49-51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NICA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п.36-39 и 40 и 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последствия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новации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взаимозачёте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п.95-96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Взаимозачёт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находятся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AAD638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78F8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{0065;0010}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911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залога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NICA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компенсируются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CPCC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SA-CCR)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осуществляется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{0061;0010},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D6234A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1164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F830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приемлемой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рыночной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SA-CCR)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П.36-39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сп.36-39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{0061;0010},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86009A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9C7D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C4B4F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SA-CCR)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{0061;0010},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2CC7AB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E367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{0091;0010}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D1A7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SA-CCR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п.66-68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п.42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76136EC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D205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{0092;0010}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D88B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более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низкого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множителя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клиринг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осуществляется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SA-CCR)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{0091;0010},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B246BF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EE5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{0093;0010}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C967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SA-CCR)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{0091;0010},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3BFD26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F4A7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949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п.99-100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содержится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п.99-100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Следовательно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п.40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SA-CCR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D9080B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85A7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{0102;0010}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464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{0101;0010},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387340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68A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{0103;0010}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E6FE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вклад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Подп.100.6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 и п.43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п.99–100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множитель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7861292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2CA5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{0104;0010}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9BD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Будущая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потенциальная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α,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1,4,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{0103;0010},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DCBCD0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750E7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7EB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Отступление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п.101-105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содержит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и 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методом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п.101-105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ничего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SA-CCR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AED89F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58BB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4EB7C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п.101-105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{0110;0010},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будто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A9BAA9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28A7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15F66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устанавливают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предельную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77FC5DA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C01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F1314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приемлемых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приобретенных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купленных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остаточный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оставшийся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Следовательно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введенное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{0130;0010}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9A6D44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219A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FD04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10%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п.6 подп.4)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подп.4) п.6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применялась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10%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подп.1)-3)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10 %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безусловно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отменены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уведомления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позволяют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автоматически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прекратить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ухудшения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кредитоспособности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заемщика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п.63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нулю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5CDA994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A1AA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E673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п.6 подп.3)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подп.3) п.6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применялась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20%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подп.1) и 2)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20%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п.63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нулю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19F9418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7EB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{0170;0010}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44C2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50%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 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п.6 подп.2)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подп.2) п.6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применялась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подп.1) и 2) п.2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50%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п.63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нулю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214B074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423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{0180;0010}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D43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степенью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100%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п.6 подп.1)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подп.1) п.6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повышенным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применялась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степень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конверсии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подп.1)-11) п.1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100%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п.63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порога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нулю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п.45-53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3CD7351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2F77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CBE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П.9-11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вподп.9.4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сп.11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{0150;0010}-{0180;0010}.</w:t>
            </w:r>
          </w:p>
        </w:tc>
      </w:tr>
      <w:tr w:rsidR="004A0213" w:rsidRPr="004A0213" w14:paraId="4E04116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D38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6E17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относящиеся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подп.9.1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подп.9.1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уплате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совершения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0190 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–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0190.</w:t>
            </w:r>
          </w:p>
        </w:tc>
      </w:tr>
      <w:tr w:rsidR="004A0213" w:rsidRPr="004A0213" w14:paraId="24D4529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C9C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{0186;0010}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4314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возобновление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поступлениями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F55FB1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1D2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{0187;0010}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4FC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факту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поставки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3D0BD07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F4F6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{0188;0010}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700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оплате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0188,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02D62AE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989D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{0189;0010}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A26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платежными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0188,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номинальной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п.67-68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6F617C4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8314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8A4A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Подп.9.1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SFT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действующими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безуспешные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невыполненные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Оценка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проводимая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основана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п.24 и п.16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сохраняются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(т. е.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вычтенные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нематериальные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отложенному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налогу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т. д.).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{0191;0010},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здесь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{0193;0010}, {0194;0010}, {0195;0010}, {0196;0010}, {0197;0010} и {0198;0010}.</w:t>
            </w:r>
          </w:p>
        </w:tc>
      </w:tr>
      <w:tr w:rsidR="004A0213" w:rsidRPr="004A0213" w14:paraId="1C4666F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A637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{0191;0010}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F605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П.9-11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вподп.9.1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{0190;0010}.</w:t>
            </w:r>
          </w:p>
        </w:tc>
      </w:tr>
      <w:tr w:rsidR="004A0213" w:rsidRPr="004A0213" w14:paraId="44C79B8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E90D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{0193;0010}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9D7C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т. е.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дебетовые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нескольких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объединяются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7B2E594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640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{0194;0010}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D44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Подп.16.2 и 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{0193;0010}.</w:t>
            </w:r>
          </w:p>
        </w:tc>
      </w:tr>
      <w:tr w:rsidR="004A0213" w:rsidRPr="004A0213" w14:paraId="70A1208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2EE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C2C0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т. е.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дебетовые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нескольких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объединяются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5CCD9AE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A49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{0196;0010}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9F92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П.25-27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зачтена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{0195;0010}.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вподп.25.2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трансформацию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остаткам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процесса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подп.25.1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27B71BC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BC70E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{0197;0010}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31C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п.25-26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П.25-26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0195 и 0196)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п.25-26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094329B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29FA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{0198;0010}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3A02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регулирования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п.27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pooling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0195 и 0196)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2EF6A81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44AF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{0200;0010}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BC3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Валовая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конверсия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П.35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количество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клиентским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квалифицированным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(CPCC),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п.36-39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5176927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C59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CB0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вариации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Подп.36.3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вариационной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выплаченной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предусмотренныеподп.36.1-36.5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{0190, 0010}.</w:t>
            </w:r>
          </w:p>
        </w:tc>
      </w:tr>
      <w:tr w:rsidR="004A0213" w:rsidRPr="004A0213" w14:paraId="707C01A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CA46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D16A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Сегмент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клиент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компенсирован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первоначальная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маржа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маржи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вподп.145.3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{0190, 0010}.</w:t>
            </w:r>
          </w:p>
        </w:tc>
      </w:tr>
      <w:tr w:rsidR="004A0213" w:rsidRPr="004A0213" w14:paraId="13F8981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93C5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C9E0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учитываемых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П.59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РЕПО,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3233B2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F80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{0235;0010}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B09C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Снижение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мезонинным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П.17-18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мезонинного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п.17-18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{0190, 0010}.</w:t>
            </w:r>
          </w:p>
        </w:tc>
      </w:tr>
      <w:tr w:rsidR="004A0213" w:rsidRPr="004A0213" w14:paraId="32108A9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177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B86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доверительному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управлению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фидуциарных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национальными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общепринятыми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прекращения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МСФО (IFRS) 9 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МСФО (IFRS) 10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отсутствуют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СRМ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{0190, 0010}.</w:t>
            </w:r>
          </w:p>
        </w:tc>
      </w:tr>
      <w:tr w:rsidR="004A0213" w:rsidRPr="004A0213" w14:paraId="011E8E8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0B26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E89EB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Внутригрупповые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индивидуальной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подп.19.2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и п.19-21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консолидированы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консолидации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воспользоваться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п.19-22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подп.1)-5) п.20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разрешение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применялось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9A80ED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EB10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{0251;0010}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A272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институциональной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D88D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180303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DA9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{0252;0010}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70DAA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возникающих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подп.19.3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применялось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50C03C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6DD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{0253;0010}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AE12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депонированное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трехсторонних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агентов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Избыточное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размещенное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трехсторонних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взаймы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исключено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применялось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450DC4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A0A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{0254;0010}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045E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существенную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передачу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6A47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89A297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2032B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7627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применялось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8D6DA8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625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{0256;0010}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580C8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Вспомогательные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депозитариев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6083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7DB133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A9EF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{0257;0010}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115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Вспомогательные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банковские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услуги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уполномоченных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0989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1B74E3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C81C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B07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подп.19.7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подп.19.7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соблюдены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изложенные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выше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применялось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C2A32D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1634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{0261;0010}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ABB5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2C2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716EE1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DD24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{0262;0010}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7C1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A08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60133E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83B7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{0263;0010}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E72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непосредственно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9189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C01C5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0A64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{0264;0010}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762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рекламные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посредническую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494C5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7D1E6C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2CA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{0265;0010}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79E4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ED2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E1EB4C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F977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{0266;0010}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39AF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непосредственно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C8F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38504C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B176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{0267;0010}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EB3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(-)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возникающие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сквозных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предоставляемые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созданной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правительствами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государства-члена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банк-посредник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BD5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16CBA3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56F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441C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(–)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введенным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Подп.19.1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п.26-29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п.30-62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п.87-95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альтернативы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отступления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предусмотренные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63-67 и 126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избежание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двойного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5-10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{0010; 0010}-{0267; 0010},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конкретного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Поскольку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вычтены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уменьшают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27E484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00BE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43F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вычтенная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-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переходным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7FB3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D4E266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77B9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{0290;0010}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D721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введенное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0010-0267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0270.</w:t>
            </w:r>
          </w:p>
        </w:tc>
      </w:tr>
      <w:tr w:rsidR="004A0213" w:rsidRPr="004A0213" w14:paraId="0876BE6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446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EBFF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переходного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6A5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C1D4E1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73CFD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90AB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</w:p>
        </w:tc>
      </w:tr>
      <w:tr w:rsidR="004A0213" w:rsidRPr="004A0213" w14:paraId="1AA548A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8F3D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F36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–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введенным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cu п.6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109/2018.</w:t>
            </w:r>
          </w:p>
        </w:tc>
      </w:tr>
      <w:tr w:rsidR="004A0213" w:rsidRPr="004A0213" w14:paraId="62C8AF1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E04E9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{0320;0010}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3495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–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переходным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1FA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F6CA7A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1546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0C25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</w:tr>
      <w:tr w:rsidR="004A0213" w:rsidRPr="004A0213" w14:paraId="3A60479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770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295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введенное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П.7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настоящего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048BFB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6561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{0340;0010}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40EC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переходное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определение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DE1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25758E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F44D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0CDE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</w:p>
        </w:tc>
      </w:tr>
      <w:tr w:rsidR="004A0213" w:rsidRPr="004A0213" w14:paraId="70A3746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97A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55ED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(P2G)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Ст.139,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(3)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п.a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взимаемые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п.а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(3) ст.139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202/2017.</w:t>
            </w:r>
          </w:p>
        </w:tc>
      </w:tr>
      <w:tr w:rsidR="004A0213" w:rsidRPr="004A0213" w14:paraId="2983B21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4A22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C8D4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P2R,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0350,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9DB70F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54983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{0370;0010}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F563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Буфер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G-SII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C0B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B2F314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947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0A5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Руководящие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(P2G)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7811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C11DE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180E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{0390;0010}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BD6A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73E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7D7A58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A1AD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E74D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5526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1B5B7B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5A03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FD04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показатели</w:t>
            </w:r>
            <w:proofErr w:type="spellEnd"/>
          </w:p>
        </w:tc>
      </w:tr>
      <w:tr w:rsidR="004A0213" w:rsidRPr="004A0213" w14:paraId="16FCB73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4C5D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76A7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П.130 подп.4)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109/2018, п.23 и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176/2025;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подп.4) п.130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109/2018.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п.23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28DF0BF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CA9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7C6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SREP (TSLRR)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Ст.139,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(3)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п.a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(i) и (ii)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образом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>(i)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0410;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(ii)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(P2R)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устранения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чрезмерным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п.а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(3) ст.139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(ii),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путем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{0350;0010}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{0300;0010}.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каких-либо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(i).</w:t>
            </w:r>
          </w:p>
        </w:tc>
      </w:tr>
      <w:tr w:rsidR="004A0213" w:rsidRPr="004A0213" w14:paraId="471057A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B62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{0430;0010}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8D7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TSLRR: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пункте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(ii)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0420,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НБМ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путем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{0360;0010}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{0300;0010}.</w:t>
            </w:r>
          </w:p>
        </w:tc>
      </w:tr>
      <w:tr w:rsidR="004A0213" w:rsidRPr="004A0213" w14:paraId="116F872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0B5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{0440;0010}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3DD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Глобальное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(OLRR)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F75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1B7CA7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01CA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{0450;0010}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85C2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Глобальное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(OLRR)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руководящих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принципах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пилона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(P2G)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43F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4364B0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EE57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{0460;0010}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5BC7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OLRR и P2G: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C81A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881B7E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E8BB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{0470;0010}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E49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OLRR и P2G: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будут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уровня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3C9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AF98BE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7EF3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08E2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</w:p>
        </w:tc>
      </w:tr>
      <w:tr w:rsidR="004A0213" w:rsidRPr="004A0213" w14:paraId="5DE25D2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A4B0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C56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МСФО 9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аналогичные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переходные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ожидаемых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убытков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(ECL)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применялись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DD6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CF2EB7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C8F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{0490;0010}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CA9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временный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нереализованных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прибылей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убытков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оцениваемых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совокупный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применялся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36CD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37DAB4C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40F88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2D8AE58D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4. C 40.00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Альтернативный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(LR1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  <w:p w14:paraId="449526E4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собирает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альтернативном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государственный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</w:t>
            </w:r>
            <w:proofErr w:type="spellEnd"/>
          </w:p>
          <w:p w14:paraId="2901DC6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29.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LR1,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МСФО.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управления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взаимоотношениями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влияние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47716AF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30.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LR1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LRCalc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настоящего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{0270;0010} {0280;0010}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6521F9E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31.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{r0410; c0010}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40.00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ежегодно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6721774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9E98B2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717"/>
        <w:gridCol w:w="1061"/>
        <w:gridCol w:w="1111"/>
        <w:gridCol w:w="1085"/>
        <w:gridCol w:w="940"/>
        <w:gridCol w:w="850"/>
        <w:gridCol w:w="850"/>
        <w:gridCol w:w="1039"/>
      </w:tblGrid>
      <w:tr w:rsidR="004A0213" w:rsidRPr="004A0213" w14:paraId="67DDB306" w14:textId="77777777" w:rsidTr="004A0213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C1F06" w14:textId="77777777" w:rsidR="004A0213" w:rsidRPr="004A0213" w:rsidRDefault="004A0213" w:rsidP="004A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1D8F0A7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3903BB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_________________</w:t>
            </w:r>
          </w:p>
          <w:p w14:paraId="1F4E8FFA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</w:t>
            </w:r>
          </w:p>
          <w:p w14:paraId="23F636C6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 </w:t>
            </w:r>
          </w:p>
          <w:p w14:paraId="37A0125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40.00 – АЛЬТЕРНАТИВНЫЙ ПОДХОД К ПОКАЗАТЕЛЮ ИЗМЕРЕНИЯ ПОДВЕРЖЕННОСТИ (LR1)</w:t>
            </w:r>
          </w:p>
          <w:p w14:paraId="12EB4C6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09B3A137" w14:textId="77777777" w:rsidTr="004A0213">
        <w:trPr>
          <w:jc w:val="center"/>
        </w:trPr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9D73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1C08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4D92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CB27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CRM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8847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Увеличение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(SFT)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F546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6A94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7B2F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ссылоч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8DEA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</w:tr>
      <w:tr w:rsidR="004A0213" w:rsidRPr="004A0213" w14:paraId="5E1948BC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72F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2C86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F792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8980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E095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E9D1B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EEB1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D9F2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EA3A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0130</w:t>
            </w:r>
          </w:p>
        </w:tc>
      </w:tr>
      <w:tr w:rsidR="004A0213" w:rsidRPr="004A0213" w14:paraId="27636D5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832E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6BE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816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E874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7E5E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B197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DE36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A686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3D37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459499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693E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4AA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1E4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AC97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ED80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1840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3602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2BAC6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82B4A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35D1D5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978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1718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C6FE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EBFE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59EF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1639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6989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8683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2E8E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1D24CD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3A5F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273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6BCA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1524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F2DD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D563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22C3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618F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861F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9A55C1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9C7D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45B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D083A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5792A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1191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C185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F8A9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85994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56166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5228CC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976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D7D2E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C2C3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F3E6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8E1A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5E2B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85E6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A64E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E5A7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A30B56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7FBBE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898C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B1BC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4C42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3614D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A3B9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C241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2185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CDB1F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598D4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B3E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BD6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123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508C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ED49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DBEC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DAF8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641EA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F86DC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033786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AA46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1BC1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897F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D9C22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9543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08ED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154F5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15FA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023A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45B370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9E177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76EE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7468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09670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199E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94AF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ECE9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821F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ADF0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3FBEC6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A20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5AB8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2ECA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9DB7E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609A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CACC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DEE3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99C1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65D07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8D0256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A81C1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A191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22C1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2AE9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1E70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996B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8D9A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1DEB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8E0A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CD34FF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821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5D4E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посредничество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в SFT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6299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6671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4E948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50CC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92E2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C568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1248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4934F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0B44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06B4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1F21D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2C3D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F4A6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5EF3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47DC3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8EB4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6B17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559033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B210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FA5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F08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82A4D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BDB3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6F0C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20DE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01383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74AB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F50036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CB46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0B7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6772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6A2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15E4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B86B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CE78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B5BA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8945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820894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E936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9B7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6F99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3229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33F9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C69C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3389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F846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8159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C964EC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3F8A0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F774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FA9D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4AA0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AA19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6AED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D7D5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E3E4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83BA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637127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967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1F52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78FB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2686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C255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13FF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0AE8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4D7F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E3E4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72FFF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B2FD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F6830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D610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15B2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2FE2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CD1D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C186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FF5D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700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416209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9AE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D57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7D22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6A02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BAF0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72AE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523E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F1BE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D3AD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DBD6CE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E2C2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1D8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3B18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6F552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368D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A544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0F76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FCD5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15287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2DD809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081C2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C2E0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домашним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хозяйствам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D942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AB54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9355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02E9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709A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392BA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B4D3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3BAF602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AB2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E8C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“Pass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through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6A05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32B4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F7F8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B73B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33D5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5619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CB02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D4C0D3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09702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108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1184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C8ED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0B96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5827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A74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0929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3CE3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C12AC0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A4F2F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8E5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п.23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4E246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770D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FBCE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E752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162C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892E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7F9A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7403B9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D7EE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A23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левериджа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п.23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A059C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A08FE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BDEA6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789C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D6F0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297AA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52E5A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F7C3E9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3ACB2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F58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3B03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D095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C787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664F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C3B9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7AE6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9AFD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5C7B405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F6016B4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5447"/>
        <w:gridCol w:w="788"/>
      </w:tblGrid>
      <w:tr w:rsidR="004A0213" w:rsidRPr="004A0213" w14:paraId="3F75841F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53F41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43C739F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40.00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Альтернативный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(LR1)</w:t>
            </w:r>
          </w:p>
          <w:p w14:paraId="4D07BA5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C85180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конкретных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58F80F73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228B8A86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A6ED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AA57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6686B66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DEF8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BC8E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{0020;010}, {0050;0010} și {0060;0010}.</w:t>
            </w:r>
          </w:p>
        </w:tc>
      </w:tr>
      <w:tr w:rsidR="004A0213" w:rsidRPr="004A0213" w14:paraId="7DAC573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09D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6603C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{0020;0020}, {0050;0020} și {0060;0020}.</w:t>
            </w:r>
          </w:p>
        </w:tc>
      </w:tr>
      <w:tr w:rsidR="004A0213" w:rsidRPr="004A0213" w14:paraId="4B54F5B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9C1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3147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{0020;0070}, {0050;0070} și {0060;0070}.</w:t>
            </w:r>
          </w:p>
        </w:tc>
      </w:tr>
      <w:tr w:rsidR="004A0213" w:rsidRPr="004A0213" w14:paraId="5001020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266B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A2A2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F14144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870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{0020;0020}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C3A4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</w:tr>
      <w:tr w:rsidR="004A0213" w:rsidRPr="004A0213" w14:paraId="57A4EC1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BA0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25150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{0030;0070} и {0040;0070}.</w:t>
            </w:r>
          </w:p>
        </w:tc>
      </w:tr>
      <w:tr w:rsidR="004A0213" w:rsidRPr="004A0213" w14:paraId="1493811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1DE7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{0020;0075}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01F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{0020; 0070}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изменений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5516A7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CCD3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{0030;0070}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DCE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оговорке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стороне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выполнила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прекратить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быстро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ликвидировать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охватываемые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несоблюдения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несостоятельности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банкротства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BFEE14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F86A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{0040;0070}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E23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подлежащие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оговорке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распространяется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положение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оговорка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стороне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выполнила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прекратить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быстро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ликвидировать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охватываемые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несоблюдения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несостоятельности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банкротства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107CBD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15612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CA8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D808AE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4F8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{0050;0020}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0C6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BB4B86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D317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F2D2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20461B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2B2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{0050;0075}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4BB25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{0050; 0070}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изменений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1-го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купленного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B5AE3C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625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{0050;0085}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53AB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купленная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Ограниченная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ссылочное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идентичным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отчитывающимся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юридическому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рангу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базовых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идентичной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экономически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эквивалентна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покупки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отдельного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считается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идентичной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охватывает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компоненты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может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референтная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группа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подчиненности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идентичны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ссылочного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кредитной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вводится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{0020;0075} и {0050;0075}.</w:t>
            </w:r>
          </w:p>
        </w:tc>
      </w:tr>
      <w:tr w:rsidR="004A0213" w:rsidRPr="004A0213" w14:paraId="514A0E8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E082C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635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принципами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7DB27B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D09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{0060;0020}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C51C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</w:tr>
      <w:tr w:rsidR="004A0213" w:rsidRPr="004A0213" w14:paraId="4217491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ECC2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{0060;0070}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BC59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содержит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справочной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114/2018.</w:t>
            </w:r>
          </w:p>
        </w:tc>
      </w:tr>
      <w:tr w:rsidR="004A0213" w:rsidRPr="004A0213" w14:paraId="7054E77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C6D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{0071;0010}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D5EF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остающиеся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{0090,0010}.</w:t>
            </w:r>
          </w:p>
        </w:tc>
      </w:tr>
      <w:tr w:rsidR="004A0213" w:rsidRPr="004A0213" w14:paraId="69EEC54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1A7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{0071;0020}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FA4B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МСФО,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пруденциального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Когда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МСФО SFT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пересчитывают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записи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остающиеся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критерии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списания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Вместо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{0090,0020}.</w:t>
            </w:r>
          </w:p>
        </w:tc>
      </w:tr>
      <w:tr w:rsidR="004A0213" w:rsidRPr="004A0213" w14:paraId="2D39863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291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045F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МСФО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 и SFT.</w:t>
            </w:r>
          </w:p>
        </w:tc>
      </w:tr>
      <w:tr w:rsidR="004A0213" w:rsidRPr="004A0213" w14:paraId="405C0ED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F22F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{0090;0020}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CDA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МСФО;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всех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 и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</w:tr>
      <w:tr w:rsidR="004A0213" w:rsidRPr="004A0213" w14:paraId="3E222D2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294B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{0095;0070}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104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специфическим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договоры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перечисленные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деривативы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SFT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п.61–62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4220243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9F9B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{0210;0020}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ED5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МСФО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подразумевается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принимается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внимание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мере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вводят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5D3761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96F2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9EE9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ПФИ,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уполномочены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компенсировать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вещного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результате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ПФИ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справедливая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решили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отменяют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дебиторскую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задолженность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6F3F1C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548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{0230;0020}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017F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признанные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признанные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применяемой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</w:tc>
      </w:tr>
      <w:tr w:rsidR="004A0213" w:rsidRPr="004A0213" w14:paraId="10C656D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EA4E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{0240;0020}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9DED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посредничество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в SFT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долговые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техника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CRM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держателя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через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посредничество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(cash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conduit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lending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transaction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CCLT),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предполагая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никаких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компенсации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повлияли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возобновляются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подразумевается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принимается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внимание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мере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сняты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кризисных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ситуациях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вводят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наличные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CCLT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комбинацию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одалживает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у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владельца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кредитору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владельцу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бумаг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(a)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приемлемую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проводятся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случае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последовательные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рабочие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(b)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закрыть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уведомления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(c)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конкретный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CCLT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приводить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несоответствию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закрыть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позиций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CCLT,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составляющие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время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предварительного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уведомления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(d) CCLT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создает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F908B0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E383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E91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3DC8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10F49A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3341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CD6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585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21345C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8ADB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{0290;0010}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CDB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F942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EA0FAE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7CFC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A2CB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Инвестиции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2C0F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C5A3F3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6347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824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0BAF8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5C201C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38D59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67A25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B567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BC0B5D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B1F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{0320;0010}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88883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EE9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773A03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0CA8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{0320;0070}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929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F1D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49585D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6FD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{0330;0010}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466E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DA4B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91CFD0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C056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{0330;0070}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950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4AF7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A671F7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35B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{0340;0010}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17BF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D13A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E547D3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E19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{0340;0070}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A763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4FA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48658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5C91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{0350;0010}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0FF3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8DE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CE1D4C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BA3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{0350;0070}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46C8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4A16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84412D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AB90D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{0360;0010}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109D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домашним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хозяйствам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410C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2B153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44BB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{0360;0070}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9F53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домашним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хозяйствам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00B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9D253E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AA4E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{0370;0010}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262E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"Pass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through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4CD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84B0D3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AC9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{0370;0070}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846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"Pass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through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Условная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номинальная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559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D59908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6A7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{0380;0010}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7A1D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Балансовая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бухгалтерского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своим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(i)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монеты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банкноты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платежным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юрисдикции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(ii)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хранящиеся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отвечают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условиям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(a)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выражены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валюте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привлеченные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(b)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превышает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существенно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погашения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депозитов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привлеченных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независимо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п.21 и 22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3B592BE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B45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{0390;0130}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7FF4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п.23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средняя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дневная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минимальных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резервных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непосредственно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предшествующий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вподп.21.3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подлежат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72B5B54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4F2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{0400;0130}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1FA2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используемый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коэффициента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левериджа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используемый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скорректированному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установленному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п.23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№ 176/2025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совокупной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п.9-11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любые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подп.19.10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подп.21.3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0513E01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857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{0410;0010}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6742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Всего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охватом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используемым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опубликованной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8BE97C6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831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1D2E03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C 43.00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Альтернативная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разбивка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компонентов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измерения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используемого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(LR4)</w:t>
            </w:r>
          </w:p>
          <w:p w14:paraId="61EF79A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32.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LR4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LRCalc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отрицательным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главы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настоящего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приложения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{0270;0010}.</w:t>
            </w:r>
          </w:p>
          <w:p w14:paraId="3B1B3BA3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33.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Чтобы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избежать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двойного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следующему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уравнению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</w:p>
          <w:p w14:paraId="1ECB9DA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{0010; 0010}-{0260;0010}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LRCalc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равна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= [{LR4;0010;0010} + {LR4;0040;0010} + {LR4;0050;0010} + {LR4;0060;0010} + {LR4;0065;0010} + {LR4;0070;0010} + {LR4;0090;0010} + {LR4;0140;0010} + {LR4;0180;0010} + {LR4;190;0010} + {LR4;0210;0010} + {LR4;0230;0010} + {LR4;0280;0010} + {LR4;0290;0010}].</w:t>
            </w:r>
          </w:p>
          <w:p w14:paraId="046AF2EC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34.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объеме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15F5FB83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35.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снижения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(CRM)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LRE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без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каких-либо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CRM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замещения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применимых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62D14FD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12F0947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849"/>
        <w:gridCol w:w="1241"/>
        <w:gridCol w:w="1834"/>
        <w:gridCol w:w="1191"/>
        <w:gridCol w:w="1270"/>
      </w:tblGrid>
      <w:tr w:rsidR="004A0213" w:rsidRPr="004A0213" w14:paraId="379CE0CB" w14:textId="77777777" w:rsidTr="004A0213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C7D43" w14:textId="77777777" w:rsidR="004A0213" w:rsidRPr="004A0213" w:rsidRDefault="004A0213" w:rsidP="004A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6CDE399F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4557124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</w:t>
            </w:r>
          </w:p>
          <w:p w14:paraId="7CE2269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</w:t>
            </w:r>
          </w:p>
          <w:p w14:paraId="0AEFC873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BE9A9D6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43.00 – АЛЬТЕРНАТИВНАЯ РАЗБИВКА КОМПОНЕНТОВ ПОКАЗАТЕЛЯ ИЗМЕРЕНИЯ ПОДВЕРЖЕННОСТИ, ИСПОЛЬЗОВАННОГО ДЛЯ РАСЧЕТА ПОКАЗАТЕЛЯ ЭФФЕКТА РЫЧАГА (LR4)</w:t>
            </w:r>
          </w:p>
          <w:p w14:paraId="3E254A36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359BA475" w14:textId="77777777" w:rsidTr="004A0213">
        <w:trPr>
          <w:jc w:val="center"/>
        </w:trPr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68AA2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4954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портфель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F88F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6C3E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640A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17AAA4F1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E92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766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423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7A7A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A6C39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4E5D8E4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67BA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2A8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9F5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649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D0ABD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62B7008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9247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6808A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09D0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5BF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00C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2D48286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C5C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A177A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6E35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CF6A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FEB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1019F46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4346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DD7D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4F284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81FD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79D6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3E94E97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209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1DD4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191E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81B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DEE8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7C338B2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C6E9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A745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DE1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332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EBE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190009A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F70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2A90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04FD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3DD1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4DFF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2C0E92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005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45B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0728E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9959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D848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4A0213" w:rsidRPr="004A0213" w14:paraId="16B3342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BD88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6045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0AD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1A7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397C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55E25262" w14:textId="77777777" w:rsidTr="004A021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E42A6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BD61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1D39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F963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</w:p>
        </w:tc>
      </w:tr>
      <w:tr w:rsidR="004A0213" w:rsidRPr="004A0213" w14:paraId="79AC1694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F5F5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9F3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242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женноти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62F50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FA89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зованному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D4BEE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согласно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</w:tr>
      <w:tr w:rsidR="004A0213" w:rsidRPr="004A0213" w14:paraId="7A43C5F2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1F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F0D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8B90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FFED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8147B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A912D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0040</w:t>
            </w:r>
          </w:p>
        </w:tc>
      </w:tr>
      <w:tr w:rsidR="004A0213" w:rsidRPr="004A0213" w14:paraId="729BFFA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DD5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550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covered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bonds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653F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01B3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03FA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6D87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F250EF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CD95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A55F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1A90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E040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E3B6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94EE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FDAD23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C9C9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F662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8DD8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F4DA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1E3F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369B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A5B8A2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062A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964BB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E335D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495A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EE64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47F1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EA5C89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F4E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7495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организации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6BBB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1C657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EA94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1EBF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27A8E6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CC6E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3796C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F80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430B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9CAD0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5A36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C700B7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B67D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E280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2833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0936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536F4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175C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995F49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59D1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185DA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02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818C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B5C7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80B4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75412F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D5357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1540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147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81F2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FEA7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1D1A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36ECF4B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6747F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1CE1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B202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CE73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FC0B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FFC3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11F61F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43B8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BEB2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A0E5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4F62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3E1C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95E3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8479B2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EAE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585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14DC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61F08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4990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E4C7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5B0399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772D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E90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8E6A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633A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80EA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6914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65CAC36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F40A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05A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149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68CC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2AA4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AF0F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1299E8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6ABB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77EC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666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F419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13FFC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8E29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2484DE9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2D16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7FD5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DB60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1C63A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82AA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A185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6A656D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BC2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661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40A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3DF6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DC1B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ED60C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DB528C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F01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B95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FEA7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EA6F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9263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B811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F4B0D3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A1BB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5B8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7BD3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2AE2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F04A2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9FCF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A5A247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6BD4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79B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МСП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D96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B9AC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DB4D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F48D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2F20F8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4CFB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0FF4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D832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C887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4B2FC4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44E7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8575C1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A9D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C162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970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FD67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4693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4CA0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88A023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4A74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1851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A9AD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3316C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CAC1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42271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94F33A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40E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3BED8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меморандум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1571B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899E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F508A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934E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0001307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7E185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886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3F9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72FA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C8CA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D0B8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48ACEB9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CD7001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5447"/>
        <w:gridCol w:w="788"/>
      </w:tblGrid>
      <w:tr w:rsidR="004A0213" w:rsidRPr="004A0213" w14:paraId="0A8F9368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A1EF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1DF373B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43.00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Альтернативная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разбивка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компонентов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измерения</w:t>
            </w:r>
            <w:proofErr w:type="spellEnd"/>
          </w:p>
          <w:p w14:paraId="1FAB79A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используемого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(LR4)</w:t>
            </w:r>
          </w:p>
          <w:p w14:paraId="1067597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конкретных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позиций</w:t>
            </w:r>
            <w:proofErr w:type="spellEnd"/>
          </w:p>
          <w:p w14:paraId="67DFAA2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39295499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6AC3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96CA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ссылки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12177D2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9F51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1754A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{LRCalc;0150;0010}, {LRCalc;0160;0010}, {LRCalc;0170;0010} и {LRCalc;0180;0010},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внутригрупповых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п.19.2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0B761E2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961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A533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-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стандартизированным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должны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определить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</w:tr>
      <w:tr w:rsidR="004A0213" w:rsidRPr="004A0213" w14:paraId="3418687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E624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BC2D0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аккредитивам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подтвержденных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краткосрочный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самоликвидированием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аналогичным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14CB7A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6B9D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8256E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аккредитивам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выпущенных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подтвержденных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краткосрочный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самоликвидированием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и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аналогичным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4062D7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2D81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DD37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прямого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субсидирования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где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установлено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программам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ACF2C0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AC84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{0030;0020}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33A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предоставляемая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таким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прямого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рефинансирования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субсидирования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фиксированная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гарантирована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программам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экспортному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FCB3C4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D9D76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934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действие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6F3C21C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4AE8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{0040;0020}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98F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т.ч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122802E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93CE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1D01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15BA0C8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432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{0050;0020}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0CF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рассчитанные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т.ч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1BA2693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0776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729A9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568D366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AC6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{0060;0020}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E42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отношении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т.ч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предметом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соглашения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взаимозачета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различными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продуктами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п.3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220/2025.</w:t>
            </w:r>
          </w:p>
        </w:tc>
      </w:tr>
      <w:tr w:rsidR="004A0213" w:rsidRPr="004A0213" w14:paraId="7317A1E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CCBB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{0065;0010}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ED03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вытекающие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дополнительного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режима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разнице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{LRCalc;0130;0010} и {LRCalc;0140;0010},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внутригрупповых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индивидуальной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подп.19.2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176/2025.</w:t>
            </w:r>
          </w:p>
        </w:tc>
      </w:tr>
      <w:tr w:rsidR="004A0213" w:rsidRPr="004A0213" w14:paraId="325233E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C1C4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C58A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{LRCalc;0190;0010},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портфеля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29EF32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E7CD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{0070;0020}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8F07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портфеля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умноженные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10,0,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114/2018.</w:t>
            </w:r>
          </w:p>
        </w:tc>
      </w:tr>
      <w:tr w:rsidR="004A0213" w:rsidRPr="004A0213" w14:paraId="5C798CE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40AA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793B1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covered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bonds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D224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4D1998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E9AA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10A9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covered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bonds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FDC4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71C7A4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CC4A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{0080;0030}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16C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covered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bonds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3D8A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F191EB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AF0C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48C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Гарантированные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covered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bonds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")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1063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847A3B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BD049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{0090,0010}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4E23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{0100,0010}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{0130,0010}.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5BE3A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0526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56E9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F78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839CCD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48E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{0090;0030}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0708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{0100,0030}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{0130,0030}.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191063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3961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0D4B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DD99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88D832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750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CC2E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п.29-33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A61FF7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DB00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711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BA191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7CEDDD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17B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3603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п.29-33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D43F1D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091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7A2B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796C7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777435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1BDA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606A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979E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E6E97E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5FAD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99D2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C30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B52079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5A0B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{0110;0030}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3E16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DBF4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4884E1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B085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7C10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42E1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5262F3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7C0B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9CEF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п.46 и 47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347C5E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EDA45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{0120;0020}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5D41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6BC0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51321E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F668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{0120;0030}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D842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п.46 и 47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8BE74C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8B06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{0120;0040}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4213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5AB4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AD66A0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9358C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28E3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п.46 и 47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E2E584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DB80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{0130;0020}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8B9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929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117FE2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FD71F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{0130;0030}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9C00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1A9119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7EA89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{0130;0040}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7659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0B0B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8B90C7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37F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E095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{0150,0010}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{0170,0010}.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443059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13F7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{0140;0020}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CEEE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60D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B3A88F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B310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{0140;0030}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5917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{0150,0030}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{0170,0030}.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39CA58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A4C2B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{0140;0040}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FE58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международными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организациями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4C16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81D360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5D67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2AC6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п.34-35 и п.37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24773D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E640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{0150;0020}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FAD3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506E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7B995F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32B1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{0150;0030}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D06B8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п.34-35 и п.37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2DED74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C38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{0150;0040}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25A1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власти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A5D4B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3E40CC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4EA3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97D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п.43-45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D8DB71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A2E7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{0160;0020}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569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956D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E14CA3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61B6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{0160;0030}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6897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многостороннего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п.43-45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ECE1A0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F538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{0160;0040}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587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Многосторонние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2E430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984689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8E7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{0170;0010}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61BC6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п.37-41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5A70DB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C7DA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{0170;0020}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C8C8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8858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FE7C23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51B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{0170;0030}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9C71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п.37-41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61EC25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220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{0170;0040}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99A6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публичного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рассматриваются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суверенные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413F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blocat</w:t>
            </w:r>
          </w:p>
        </w:tc>
      </w:tr>
      <w:tr w:rsidR="004A0213" w:rsidRPr="004A0213" w14:paraId="47BDBC5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1AA9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A44C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п.48-58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6BA141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04AD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367F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68CE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3264EE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2D48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14F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п.48-58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ACFC4E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D3A3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{0180;0040}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F7BF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2A1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EF655E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27AE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F2FD9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п.65-68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433D94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9670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2BD5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713E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F82C0C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22D6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{0190;0030}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378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п.65-68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B2EE764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AA34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{0190;0040}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6C6E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C9DC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78BEC2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FC43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{0200;0010}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83AF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целиком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п.69-70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0A005A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F71C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{0200;0020}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BCE0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AF4D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15A9AF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64D0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{0200;0030}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70D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обеспеченными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целиком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полностью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п.69-70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F6B3E9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F7A8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{0200;0040}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809D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Обеспеченные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ипотеками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жилую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недвижимость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F542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D15C5F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D27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17B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0EC5D6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998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{0210;0020}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D474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5731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AD39FA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C8B09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{0210;0030}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B0E6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EC2770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A123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{0210;0040}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5674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791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E32075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E555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CAAD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подп.2) п.96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C80288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F7DC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8FC7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AD5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E49816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A022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5A75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п.61-64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подп.2) п.96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0740CC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F6859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{0220;0040}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EDF2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375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66C726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C416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{0230;0010}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6155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{0240,0010} и {0250,0010}.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7A2B95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ED40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{0230;0020}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90A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A2C5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4DDFCF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AD85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{0230;0030}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EEA28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{0240,0030} и {0250,0030}.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FFF6C9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E8D7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{0230;0040}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5B9C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45C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F65413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536A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3E19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подразумеваются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нерегулируемые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{0180; 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нескольких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ст.14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{0180; 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448A75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84465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{0240;0020}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AF2E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4B7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4CAA98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9830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{0240;0030}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3D6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подразумеваются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регулируемые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нерегулируемые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компании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упомянутых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{0180; 0010},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заключается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приобретении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участия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выполнении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одной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нескольких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ст.14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202/2017, а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сектора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статье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3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Закона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202/2017,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{0180; 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A71898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5A9A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{0240;0040}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A6C2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49B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8F4A21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5CFC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F076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{0260,0010} и {0270,0010}.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11159A8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AC1A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E38B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675AD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2E1640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67A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AB6B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нефинансовыми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ячеек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{0260,0030} и {0270,0030}.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37A820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8161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{0250;0040}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3981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EE853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84A20A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DB0C9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F436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подп.2) п.96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E0CA90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4B7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A313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7E86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blocat</w:t>
            </w:r>
          </w:p>
        </w:tc>
      </w:tr>
      <w:tr w:rsidR="004A0213" w:rsidRPr="004A0213" w14:paraId="20A8E0E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DBFD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4B74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целей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этой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понятие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"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малое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предприятие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подп.2) п.96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76F74D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91F9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{0260;0040}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EA32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54DB5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2438E5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E24C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ECEE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представляющих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75B5C4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B787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8FD8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3DA5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B1691F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0A7A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C758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соответствии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п.59-60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{0230;0040} и {0250;0040}.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3128F7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E99D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{0270;0040}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48D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другие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перед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МСП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5A33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2DFC6D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62A4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{0280;0010}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00D0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следовательно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п.73-75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</w:tr>
      <w:tr w:rsidR="004A0213" w:rsidRPr="004A0213" w14:paraId="33578B4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BFA0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{0280;0020}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3A2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97E8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9DCC49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82B3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{0280;0030}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DDA4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следовательно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подпадает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п.73-75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</w:p>
        </w:tc>
      </w:tr>
      <w:tr w:rsidR="004A0213" w:rsidRPr="004A0213" w14:paraId="67BE43C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DCD8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{0280;0040}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2D8F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A273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979277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A7C3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{0290;0010}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B09F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подп.11)-16) п.11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вычитаются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например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нематериальные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могут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классифицироваться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иначе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даже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классификация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необходимой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капиталу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основе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графах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{*; 0030} и {*; 0040}.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8D0207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C9E1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{0290;0020}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963E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FA20F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5BBD84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A428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{0290;0030}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82CC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включенных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подп.11)-16) п.11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Регламента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№ 111/2018.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44D4073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4851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{0290;0040}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29BC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Прочие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EBB4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10CBF31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2569B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{0300;0010}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5C6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AD3D1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519C9F3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FAA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{0300;0020}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EC2B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0990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555518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5588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{0300;0030}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2E2F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797A4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64CEC9C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6AB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{0300;0040}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56B7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секьюритизации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7919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36BE63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2055D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895AC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экспортера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импортера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помощью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аналогичных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5DAAC81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CDEF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1BE8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65DD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3E79F4E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9E82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CE27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относящихся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экспортера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импортера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товаров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услуг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помощью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аналогичных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операций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20B77028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D74B2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{0310;0040}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AEC8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элемент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меморандум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)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0332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E577DE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56743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B538F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официальная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стороны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прямых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субсидирование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фиксированная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помощи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33A65FB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4D6E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{0320;0020}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358F0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BBAB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3AF825E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2CDA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{0320;0030}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8D8F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расчета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балансовых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элементов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относятся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торговли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LR4,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схема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поддержке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стороны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правительства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субъекта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такого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официальное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агентство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частности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прямых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субсидирование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если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фиксированная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процентная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ставка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весь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помощи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займы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гранты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страхование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отражают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сумму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полученную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после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вычетов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состоянии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невозврата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рамках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328DA3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365F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{0320;0040}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B740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официальной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схеме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страхования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экспортных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Сумма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использованием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подхода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основанного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внутренних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моделях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рейтинга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9FB67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362DDD3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482CA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8E6A14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6. C 44.00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информация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(LR5)</w:t>
            </w:r>
          </w:p>
          <w:p w14:paraId="02C5A54B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36.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формуляре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собираются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дополнительные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классификации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правил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выбрал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32E4CE9B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D6F0E5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5894"/>
        <w:gridCol w:w="757"/>
      </w:tblGrid>
      <w:tr w:rsidR="004A0213" w:rsidRPr="004A0213" w14:paraId="1C359A39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439D6" w14:textId="77777777" w:rsidR="004A0213" w:rsidRPr="004A0213" w:rsidRDefault="004A0213" w:rsidP="004A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5C8BACD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573B097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</w:t>
            </w:r>
          </w:p>
          <w:p w14:paraId="724A78E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</w:t>
            </w:r>
          </w:p>
          <w:p w14:paraId="2E0E27D7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01B33CD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44.00 – ОБЩАЯ ИНФОРМАЦИЯ (LR5)</w:t>
            </w:r>
          </w:p>
          <w:p w14:paraId="5E9F315D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19D7090A" w14:textId="77777777" w:rsidTr="004A0213">
        <w:trPr>
          <w:jc w:val="center"/>
        </w:trPr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A439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FCB4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5367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</w:tr>
      <w:tr w:rsidR="004A0213" w:rsidRPr="004A0213" w14:paraId="31E09559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72A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4C54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154D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</w:tr>
      <w:tr w:rsidR="004A0213" w:rsidRPr="004A0213" w14:paraId="673C5C5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E37A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8A2C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8B7B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7708133C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E66C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A4BA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4C0E0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542554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6D80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2AB93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0F8A8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5FD07AE3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CF594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06DE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610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94AAD6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7422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113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Центральная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B821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129A99E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A5A5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8E8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Региональная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3986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786E2C0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F481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4DD9B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Местный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орган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6649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23BE9C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9CF33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AA46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жизнеспособности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1B1B9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4F886A9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84AD3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6181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Прямая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6B63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  <w:tr w:rsidR="004A0213" w:rsidRPr="004A0213" w14:paraId="5F572C6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EE9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8114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гарантии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Косвенная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8BB2CC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X</w:t>
            </w:r>
          </w:p>
        </w:tc>
      </w:tr>
    </w:tbl>
    <w:p w14:paraId="2E50362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5241"/>
        <w:gridCol w:w="829"/>
      </w:tblGrid>
      <w:tr w:rsidR="004A0213" w:rsidRPr="004A0213" w14:paraId="04B9CB51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A46DD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составления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14BD7E2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49E61C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44.00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информация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(LR5)</w:t>
            </w:r>
          </w:p>
          <w:p w14:paraId="0B1A22E8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78F0F2F3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99C4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CE59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31C74A9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5427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4E37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Правовая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структура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правовой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структуры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акционерное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взаимное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кооперативное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кроме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акционерного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3D19CB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4333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{0020;0010}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E2BC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производных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финансовых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инструментов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норм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рассматривает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производные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финансовые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инструменты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(SA-CCR);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упрощенный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стандартизованный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подход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кредитного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риска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контрагента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метод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первоначальной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094E554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75562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{0040;0010}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792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Тип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ячейке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следующих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категорий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точки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зрения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вида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деятельности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универсальный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инвестиционный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ритейл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коммерческий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инвестиционный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специализированный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  <w:t xml:space="preserve">-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другая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бизнес-модель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6429BF1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9E06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{0070;0010}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1B86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подразделением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5D7A4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9BD0F7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52E4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{0080;0010}, {00090;0010}, {0100;0010}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D077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Центральная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58B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blocat</w:t>
            </w:r>
          </w:p>
        </w:tc>
      </w:tr>
      <w:tr w:rsidR="004A0213" w:rsidRPr="004A0213" w14:paraId="4BB5236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7465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{0080;0010}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2369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Центральная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5E66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779B54E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1B4D4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{0090;0010}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FA19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Региональная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администрация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7C63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2D30B0D6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156C4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{0100;0010}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890F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Местный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орган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который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гарантирует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подразделение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общественного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E99D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0A6704FB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CD28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{0110;0010}; {0120;0010}; {0130;0010}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4E47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Вид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полученной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5CE91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E886FEF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6BAB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{0110;0010}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50A4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Обязательство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защите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жизнеспособности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7B71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48EE8C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3AF798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{0120;0010}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396A5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Прямая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гарантия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2846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107F9337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4969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{0130;0010}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932F6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Косвенная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собственным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средствам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требований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финансированию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или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промоционных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кредитов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предоставленных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банками</w:t>
            </w:r>
            <w:proofErr w:type="spellEnd"/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F1E05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blocat</w:t>
            </w:r>
          </w:p>
        </w:tc>
      </w:tr>
      <w:tr w:rsidR="004A0213" w:rsidRPr="004A0213" w14:paraId="4FC5CB1E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F5FF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5F50C53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7.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48.00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Волатильность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(LR6)</w:t>
            </w:r>
          </w:p>
          <w:p w14:paraId="38ABBEC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37.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собирается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мониторинга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волатильности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Информацию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только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являющиеся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системно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значимыми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обществами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2FC3B22A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196BA1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8. C 48.01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Волатильность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</w:p>
          <w:p w14:paraId="0E6EE7F8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</w:tr>
    </w:tbl>
    <w:p w14:paraId="720E21D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3341DE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008"/>
        <w:gridCol w:w="1889"/>
        <w:gridCol w:w="1754"/>
      </w:tblGrid>
      <w:tr w:rsidR="004A0213" w:rsidRPr="004A0213" w14:paraId="2014A999" w14:textId="77777777" w:rsidTr="004A0213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6BEBC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4441085C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DEA8DD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 48.00 - ВОЛАТИЛЬНОСТЬ ПОКАЗАТЕЛЯ ЭФФЕКТА РЫЧАГА (LR6)</w:t>
            </w:r>
          </w:p>
          <w:p w14:paraId="7A4F169D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7236BC3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____________________</w:t>
            </w:r>
          </w:p>
          <w:p w14:paraId="34E9F2E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</w:t>
            </w:r>
          </w:p>
          <w:p w14:paraId="0E176FD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42962B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48.01 – ВОЛАТИЛЬНОСТЬ ПОКАЗАТЕЛЯ ЭФФЕКТА РЫЧАГА:</w:t>
            </w:r>
          </w:p>
          <w:p w14:paraId="32BDE73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СРЕДНЕЕ ЗНАЧЕНИЕ ЗА ОТЧЕТНЫЙ ПЕРИОД (LR6.1)</w:t>
            </w:r>
          </w:p>
          <w:p w14:paraId="3A5D15A8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7585254D" w14:textId="77777777" w:rsidTr="004A0213">
        <w:trPr>
          <w:jc w:val="center"/>
        </w:trPr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B04B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B0817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2EF9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SFT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F6E3F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учитываемым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</w:t>
            </w:r>
          </w:p>
        </w:tc>
      </w:tr>
      <w:tr w:rsidR="004A0213" w:rsidRPr="004A0213" w14:paraId="3B79D171" w14:textId="77777777" w:rsidTr="004A021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E09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4CE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C2506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5138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</w:tr>
      <w:tr w:rsidR="004A0213" w:rsidRPr="004A0213" w14:paraId="65C504D2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4C1E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EA8C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4EDF6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DD099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256E3E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70DE5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6235"/>
      </w:tblGrid>
      <w:tr w:rsidR="004A0213" w:rsidRPr="004A0213" w14:paraId="519A2EDD" w14:textId="77777777" w:rsidTr="004A021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0DB062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333442B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6F1542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48.01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Волатильность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  <w:p w14:paraId="23355F6A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7C7413BA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4A77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98FED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06C645D5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5C02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A770F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SFT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данные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о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средних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проведенными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и 0050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47.00.</w:t>
            </w:r>
          </w:p>
        </w:tc>
      </w:tr>
      <w:tr w:rsidR="004A0213" w:rsidRPr="004A0213" w14:paraId="5E5C39E9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71A58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7881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учитываемым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арифметическое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учтенным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определено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0230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47.00.</w:t>
            </w:r>
          </w:p>
        </w:tc>
      </w:tr>
      <w:tr w:rsidR="004A0213" w:rsidRPr="004A0213" w14:paraId="04668F52" w14:textId="77777777" w:rsidTr="004A0213">
        <w:trPr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686E6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811E492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Часть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9. C 48.02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Волатильность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дневные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  <w:p w14:paraId="717A85A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38.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Указываются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</w:tbl>
    <w:p w14:paraId="6D94F80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FD24E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2637"/>
        <w:gridCol w:w="2844"/>
      </w:tblGrid>
      <w:tr w:rsidR="004A0213" w:rsidRPr="004A0213" w14:paraId="6FDC30E8" w14:textId="77777777" w:rsidTr="004A0213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7E6B0B" w14:textId="77777777" w:rsidR="004A0213" w:rsidRPr="004A0213" w:rsidRDefault="004A0213" w:rsidP="004A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Формат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64DD61C1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BFC245F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банка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____________________</w:t>
            </w:r>
          </w:p>
          <w:p w14:paraId="330C22A2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отчетности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____________</w:t>
            </w:r>
          </w:p>
          <w:p w14:paraId="73997DAF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277A4CC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48.02 – ВОЛАТИЛЬНОСТЬ ПОКАЗАТЕЛЯ ЭФФЕКТА РЫЧАГА: ДНЕВНЫЕ ЗНАЧЕНИЯ ЗА ОТЧЕТНЫЙ ПЕРИОД (LR6.2)</w:t>
            </w:r>
          </w:p>
          <w:p w14:paraId="22FA1AA0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1D6CB16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D2AB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пределах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6D9B9B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SFT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76865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учитываемым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</w:t>
            </w:r>
          </w:p>
        </w:tc>
      </w:tr>
      <w:tr w:rsidR="004A0213" w:rsidRPr="004A0213" w14:paraId="6402B26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F680E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A7C98A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B6EB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0030</w:t>
            </w:r>
          </w:p>
        </w:tc>
      </w:tr>
      <w:tr w:rsidR="004A0213" w:rsidRPr="004A0213" w14:paraId="53695DBA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1F5B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BB24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387B2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C3D8CE7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05335B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6235"/>
      </w:tblGrid>
      <w:tr w:rsidR="004A0213" w:rsidRPr="004A0213" w14:paraId="1722A26C" w14:textId="77777777" w:rsidTr="004A021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05F03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Порядок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заполнения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отчета</w:t>
            </w:r>
            <w:proofErr w:type="spellEnd"/>
          </w:p>
          <w:p w14:paraId="5789AC09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799CD15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 48.02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Волатильность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показателя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эффекта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рычага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дневные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</w:t>
            </w:r>
            <w:proofErr w:type="spellEnd"/>
          </w:p>
          <w:p w14:paraId="425D7A1E" w14:textId="77777777" w:rsidR="004A0213" w:rsidRPr="004A0213" w:rsidRDefault="004A0213" w:rsidP="004A02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4A0213" w:rsidRPr="004A0213" w14:paraId="06EE72CA" w14:textId="77777777" w:rsidTr="004A0213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DD4B0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Строка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и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графа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53A67" w14:textId="77777777" w:rsidR="004A0213" w:rsidRPr="004A0213" w:rsidRDefault="004A0213" w:rsidP="004A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Инструкции</w:t>
            </w:r>
            <w:proofErr w:type="spellEnd"/>
          </w:p>
        </w:tc>
      </w:tr>
      <w:tr w:rsidR="004A0213" w:rsidRPr="004A0213" w14:paraId="0B20F39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65C0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{0010;0010}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5CF5C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Отчетная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дата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пределах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периода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дату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к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которой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относится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сообщаемое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Указывается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каждый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рабочий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</w:tc>
      </w:tr>
      <w:tr w:rsidR="004A0213" w:rsidRPr="004A0213" w14:paraId="7BFD4230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C8773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{0010;0020}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4F9BA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Стоимость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с SFT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подверженностям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SFT,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исключением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сегмента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CPC,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исключенного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из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подверженностей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связанных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клиринговыми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для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клиентов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строках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0010 и 0050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47.00.</w:t>
            </w:r>
          </w:p>
        </w:tc>
      </w:tr>
      <w:tr w:rsidR="004A0213" w:rsidRPr="004A0213" w14:paraId="21A4A0ED" w14:textId="77777777" w:rsidTr="004A021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121AD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{0010;0030}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5B59B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Корректировки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учитываемым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продажа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SFT</w:t>
            </w:r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br/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Банки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предоставляют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ежедневные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течение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отчетного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квартала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корректировок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сделкам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учитываемым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продажаSFT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как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указано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в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строкe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0230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формы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 47.00.</w:t>
            </w:r>
          </w:p>
        </w:tc>
      </w:tr>
    </w:tbl>
    <w:p w14:paraId="43BE5E9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940B36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13,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80.00 – NSFR – ТРЕБОВАНИЯ К СТАБИЛЬНОМУ ФИНАНСИРОВАНИЮ,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определённым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1070 "1.10.3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торговым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111/2018".</w:t>
      </w:r>
    </w:p>
    <w:p w14:paraId="422FF42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4B54AF6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176/2025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Официальный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№ 417-419, ст.676)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A09A95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2.1. в подп.19.4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"подп.143.3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"подп.145.3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 (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220/2025);</w:t>
      </w:r>
    </w:p>
    <w:p w14:paraId="5FB15C1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2.2.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подп.19.5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"п.139 и 140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"п.141 и 142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3227E70E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2.3. в п.33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"п.104 и 105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"п.106 и 107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3FD7DD1A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2.4. в п.36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"п.46-48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"п.49 и 51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574A003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2.5. в подп.36.5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"п.104 и 105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"п.106 и 107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4CF63828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2.6. в п.40, 41, 43 и подп.43.2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1CD54700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2.7. в п.42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"п.62 и 63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"п.66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220/2025";</w:t>
      </w:r>
    </w:p>
    <w:p w14:paraId="3D11972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DF957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2026.</w:t>
      </w:r>
    </w:p>
    <w:p w14:paraId="2A7502B1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Первая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COREP в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утвержденной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117/2018,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состоянию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марта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2026 </w:t>
      </w:r>
      <w:proofErr w:type="spellStart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4A0213" w:rsidRPr="004A0213" w14:paraId="3BC7A02B" w14:textId="77777777" w:rsidTr="004A02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5F516B1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46EB4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4A0213" w:rsidRPr="004A0213" w14:paraId="268F92B7" w14:textId="77777777" w:rsidTr="004A02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45874F9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C6F1E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ДРАГУ</w:t>
            </w:r>
          </w:p>
        </w:tc>
      </w:tr>
      <w:tr w:rsidR="004A0213" w:rsidRPr="004A0213" w14:paraId="2191D14A" w14:textId="77777777" w:rsidTr="004A0213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6CFC2E87" w14:textId="77777777" w:rsidR="004A0213" w:rsidRPr="004A0213" w:rsidRDefault="004A0213" w:rsidP="004A0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№ 252.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Кишинэу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6 </w:t>
            </w:r>
            <w:proofErr w:type="spellStart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ноября</w:t>
            </w:r>
            <w:proofErr w:type="spellEnd"/>
            <w:r w:rsidRPr="004A0213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2025 г.</w:t>
            </w:r>
          </w:p>
        </w:tc>
      </w:tr>
    </w:tbl>
    <w:p w14:paraId="7216D6D3" w14:textId="77777777" w:rsidR="004A0213" w:rsidRPr="004A0213" w:rsidRDefault="004A0213" w:rsidP="004A0213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4A0213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2E14EAF" w14:textId="77777777" w:rsidR="00B65ABB" w:rsidRDefault="00B65ABB"/>
    <w:sectPr w:rsid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BB"/>
    <w:rsid w:val="004A0213"/>
    <w:rsid w:val="009110A8"/>
    <w:rsid w:val="009350BB"/>
    <w:rsid w:val="00B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51517-E317-46D3-BD92-18E4E1E7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4A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63</Pages>
  <Words>21407</Words>
  <Characters>124166</Characters>
  <Application>Microsoft Office Word</Application>
  <DocSecurity>0</DocSecurity>
  <Lines>1034</Lines>
  <Paragraphs>290</Paragraphs>
  <ScaleCrop>false</ScaleCrop>
  <Company/>
  <LinksUpToDate>false</LinksUpToDate>
  <CharactersWithSpaces>145283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2025-11-21T08:48:00Z</dcterms:created>
  <dcterms:modified xsi:type="dcterms:W3CDTF">2025-11-21T08:53:00Z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2025-11-21T08:54:03Z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a7a8953c-8d15-451d-a37b-4b4412405792</vt:lpwstr>
  </property>
  <property fmtid="{D5CDD505-2E9C-101B-9397-08002B2CF9AE}" pid="8" name="MSIP_Label_38962dcf-d39f-4edc-a396-338a56ba9170_ContentBits">
    <vt:lpwstr>0</vt:lpwstr>
  </property>
</Properties>
</file>